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社團法人高雄市社福慈善團體聯合會</w:t>
      </w:r>
    </w:p>
    <w:p>
      <w:pPr>
        <w:spacing w:before="0" w:after="0" w:line="4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「看見希望宅急便服務方案」個案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服務流程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8"/>
          <w:shd w:fill="auto" w:val="clear"/>
        </w:rPr>
        <w:t xml:space="preserve">架構圖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102.1.31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製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個案標準：</w:t>
      </w:r>
    </w:p>
    <w:p>
      <w:pPr>
        <w:numPr>
          <w:ilvl w:val="0"/>
          <w:numId w:val="3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以非低收入戶之邊緣戶為主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如有突發狀況之低收及中低收入戶之家戶</w:t>
      </w:r>
    </w:p>
    <w:p>
      <w:pPr>
        <w:spacing w:before="0" w:after="0" w:line="40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接案來源：</w:t>
      </w:r>
    </w:p>
    <w:p>
      <w:pPr>
        <w:spacing w:before="0" w:after="0" w:line="400"/>
        <w:ind w:right="-142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由各友會採用自己的會內的轉介表提報至聯合會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透過高市社會局或其他轉介單位提出申請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由本會社工員自行開案及訪視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個人自行求助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備註：如由單位轉介於每月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日前提案。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評估轉介本會之急難救助專案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不符合資格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連結其他社會資源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符合資格後進行家戶訪視：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由各友會以「戶」為單位進行關懷及訪視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透過高市社會局或其他轉介單位協助關懷訪視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本會社工員進行關懷及訪視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參加本會活動或轉介單位之活動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numPr>
          <w:ilvl w:val="0"/>
          <w:numId w:val="16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參加本會之弱勢家庭促進活動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給予家戶短期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1~3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個月食物卷</w:t>
      </w:r>
    </w:p>
    <w:p>
      <w:pPr>
        <w:numPr>
          <w:ilvl w:val="0"/>
          <w:numId w:val="18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本會依募集物資狀況，不定期提供物資給案家。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備註：通知各單位於每月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~10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日左右領取食物卷，如是需採買農會或菜攤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會與各主責單位接洽時間。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家戶配合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每月至少提供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小時社區服務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〈需檢附志願服務時數證明〉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備註：</w:t>
      </w:r>
    </w:p>
    <w:p>
      <w:pPr>
        <w:numPr>
          <w:ilvl w:val="0"/>
          <w:numId w:val="22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以單位轉介之家戶，可由單位協助或媒合家戶進行社區服務。</w:t>
      </w:r>
    </w:p>
    <w:p>
      <w:pPr>
        <w:numPr>
          <w:ilvl w:val="0"/>
          <w:numId w:val="22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家戶成員無法做社區服務，請於轉介單備註說明。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每月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25</w:t>
      </w: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日前繳回當月家戶領據</w:t>
      </w:r>
    </w:p>
    <w:p>
      <w:pPr>
        <w:numPr>
          <w:ilvl w:val="0"/>
          <w:numId w:val="27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每月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25</w:t>
      </w: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日提次月家戶名單，以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個月為限。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補助期限屆滿，請轉介單位評估家戶是否有展延之需求</w:t>
      </w:r>
    </w:p>
    <w:p>
      <w:pPr>
        <w:numPr>
          <w:ilvl w:val="0"/>
          <w:numId w:val="32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補助期限屆滿即結案。</w:t>
      </w:r>
    </w:p>
    <w:p>
      <w:pPr>
        <w:numPr>
          <w:ilvl w:val="0"/>
          <w:numId w:val="32"/>
        </w:numPr>
        <w:spacing w:before="0" w:after="0" w:line="40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如有需求者依規定再提出展延評估表，由本會社工員進行評估。</w:t>
      </w: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16">
    <w:abstractNumId w:val="24"/>
  </w:num>
  <w:num w:numId="18">
    <w:abstractNumId w:val="18"/>
  </w:num>
  <w:num w:numId="22">
    <w:abstractNumId w:val="12"/>
  </w:num>
  <w:num w:numId="27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